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CURA Glass b.v.</w:t>
      </w:r>
    </w:p>
    <w:p w:rsidR="00470A4D" w:rsidRPr="006F0428" w:rsidRDefault="00470A4D" w:rsidP="000747AA">
      <w:pPr>
        <w:pStyle w:val="Lijstalinea"/>
      </w:pPr>
      <w:r w:rsidRPr="006F0428">
        <w:t>2e Industrieweg 6</w:t>
      </w:r>
      <w:r w:rsidRPr="006F0428">
        <w:br/>
        <w:t>3411 ME</w:t>
      </w:r>
      <w:r w:rsidRPr="006F0428">
        <w:br/>
        <w:t>LOPIK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CURA Glass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Andrea Beerlink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