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Saint Gobain Innovative Materials Belgium NV</w:t>
      </w:r>
    </w:p>
    <w:p w:rsidR="00470A4D" w:rsidRPr="006F0428" w:rsidRDefault="00470A4D" w:rsidP="000747AA">
      <w:pPr>
        <w:pStyle w:val="Lijstalinea"/>
      </w:pPr>
      <w:r w:rsidRPr="006F0428">
        <w:t>Avenue Einstein 6</w:t>
      </w:r>
      <w:r w:rsidRPr="006F0428">
        <w:br/>
        <w:t>1300</w:t>
      </w:r>
      <w:r w:rsidRPr="006F0428">
        <w:br/>
        <w:t>Wavre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Saint Gobain Innovative Materials Belgium NV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Rony Gielen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