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Bakker Totaalglas B.V.</w:t>
      </w:r>
    </w:p>
    <w:p w:rsidR="00470A4D" w:rsidRPr="006F0428" w:rsidRDefault="00470A4D" w:rsidP="000747AA">
      <w:pPr>
        <w:pStyle w:val="Lijstalinea"/>
      </w:pPr>
      <w:r w:rsidRPr="006F0428">
        <w:t>Lorentzstraat 1A</w:t>
      </w:r>
      <w:r w:rsidRPr="006F0428">
        <w:br/>
        <w:t>3316 AB</w:t>
      </w:r>
      <w:r w:rsidRPr="006F0428">
        <w:br/>
        <w:t>DORDRECHT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Bakker Totaalglas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J. Bakker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15-04-2025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