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Vorsselmans NV</w:t>
      </w:r>
    </w:p>
    <w:p w:rsidR="00470A4D" w:rsidRPr="006F0428" w:rsidRDefault="00470A4D" w:rsidP="000747AA">
      <w:pPr>
        <w:pStyle w:val="Lijstalinea"/>
      </w:pPr>
      <w:r w:rsidRPr="006F0428">
        <w:t>Wuustwezelsesweg 95</w:t>
      </w:r>
      <w:r w:rsidRPr="006F0428">
        <w:br/>
        <w:t>2990</w:t>
      </w:r>
      <w:r w:rsidRPr="006F0428">
        <w:br/>
        <w:t>LOENHOUT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Vorsselmans NV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Dave Van Elsacker</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08-04-2025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