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Versteeg Glas BV</w:t>
      </w:r>
    </w:p>
    <w:p w:rsidR="00470A4D" w:rsidRPr="006F0428" w:rsidRDefault="00470A4D" w:rsidP="000747AA">
      <w:pPr>
        <w:pStyle w:val="Lijstalinea"/>
      </w:pPr>
      <w:r w:rsidRPr="006F0428">
        <w:t>Wegtersweg 32</w:t>
      </w:r>
      <w:r w:rsidRPr="006F0428">
        <w:br/>
        <w:t>7556 BR</w:t>
      </w:r>
      <w:r w:rsidRPr="006F0428">
        <w:br/>
        <w:t>HENGELO OV</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Versteeg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H.J. Biemans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