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Creon Online B.V.</w:t>
      </w:r>
    </w:p>
    <w:p w:rsidR="00470A4D" w:rsidRPr="006F0428" w:rsidRDefault="00470A4D" w:rsidP="000747AA">
      <w:pPr>
        <w:pStyle w:val="Lijstalinea"/>
      </w:pPr>
      <w:r w:rsidRPr="006F0428">
        <w:t>Kade 34</w:t>
      </w:r>
      <w:r w:rsidRPr="006F0428">
        <w:br/>
        <w:t>3371 EP</w:t>
      </w:r>
      <w:r w:rsidRPr="006F0428">
        <w:br/>
        <w:t>HARDINXVELD-GIESSENDAM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Creon Online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09-09-2025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