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Marlex Holland B.V.</w:t>
      </w:r>
    </w:p>
    <w:p w:rsidR="00470A4D" w:rsidRPr="006F0428" w:rsidRDefault="00470A4D" w:rsidP="000747AA">
      <w:pPr>
        <w:pStyle w:val="Lijstalinea"/>
      </w:pPr>
      <w:r w:rsidRPr="006F0428">
        <w:t>De Eendracht 12</w:t>
      </w:r>
      <w:r w:rsidRPr="006F0428">
        <w:br/>
        <w:t>8862 RE</w:t>
      </w:r>
      <w:r w:rsidRPr="006F0428">
        <w:br/>
        <w:t>HARLINGEN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Marlex Holland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21-08-2025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