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Quality Glass </w:t>
      </w:r>
    </w:p>
    <w:p w:rsidR="00470A4D" w:rsidRPr="006F0428" w:rsidRDefault="00470A4D" w:rsidP="000747AA">
      <w:pPr>
        <w:pStyle w:val="Lijstalinea"/>
      </w:pPr>
      <w:r w:rsidRPr="006F0428">
        <w:t>Hendrik Figeeweg 3c</w:t>
      </w:r>
      <w:r w:rsidRPr="006F0428">
        <w:br/>
        <w:t>2031 BJ</w:t>
      </w:r>
      <w:r w:rsidRPr="006F0428">
        <w:br/>
        <w:t>HAARLEM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Quality Glass </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L. Daban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