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Metaglas Operations BV</w:t>
      </w:r>
    </w:p>
    <w:p w:rsidR="00470A4D" w:rsidRPr="006F0428" w:rsidRDefault="00470A4D" w:rsidP="000747AA">
      <w:pPr>
        <w:pStyle w:val="Lijstalinea"/>
      </w:pPr>
      <w:r w:rsidRPr="006F0428">
        <w:t>Postbus 270</w:t>
      </w:r>
      <w:r w:rsidRPr="006F0428">
        <w:br/>
        <w:t>4000 AG</w:t>
      </w:r>
      <w:r w:rsidRPr="006F0428">
        <w:br/>
        <w:t>TIEL</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Metaglas Operations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01-05-2025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