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Kuppens Kunststoffen en Aluminium bv</w:t>
      </w:r>
    </w:p>
    <w:p w:rsidR="00470A4D" w:rsidRPr="006F0428" w:rsidRDefault="00470A4D" w:rsidP="000747AA">
      <w:pPr>
        <w:pStyle w:val="Lijstalinea"/>
      </w:pPr>
      <w:r w:rsidRPr="006F0428">
        <w:t>Postbus 51</w:t>
      </w:r>
      <w:r w:rsidRPr="006F0428">
        <w:br/>
        <w:t>7030 AB</w:t>
      </w:r>
      <w:r w:rsidRPr="006F0428">
        <w:br/>
        <w:t>WEHL</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Kuppens Kunststoffen en Aluminium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B.A. Kuppens</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24-04-2025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2.93113008761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