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Haelen</w:t>
      </w:r>
    </w:p>
    <w:p w:rsidR="00470A4D" w:rsidRPr="006F0428" w:rsidRDefault="00470A4D" w:rsidP="000747AA">
      <w:pPr>
        <w:pStyle w:val="Lijstalinea"/>
      </w:pPr>
      <w:r w:rsidRPr="006F0428">
        <w:t>Windmolenbosweg 1</w:t>
      </w:r>
      <w:r w:rsidRPr="006F0428">
        <w:br/>
        <w:t>6081 PE</w:t>
      </w:r>
      <w:r w:rsidRPr="006F0428">
        <w:br/>
        <w:t>HAELEN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Haelen</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Marcel Beckers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