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MarVerre Gilze B.V.</w:t>
      </w:r>
    </w:p>
    <w:p w:rsidR="00470A4D" w:rsidRPr="006F0428" w:rsidRDefault="00470A4D" w:rsidP="000747AA">
      <w:pPr>
        <w:pStyle w:val="Lijstalinea"/>
      </w:pPr>
      <w:r w:rsidRPr="006F0428">
        <w:t>Tilburgsebaan 20</w:t>
      </w:r>
      <w:r w:rsidRPr="006F0428">
        <w:br/>
        <w:t>5126 PH</w:t>
      </w:r>
      <w:r w:rsidRPr="006F0428">
        <w:br/>
        <w:t>GILZE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MarVerre Gilze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A. Verbogt</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