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BUVA Rationele Bouwproducten</w:t>
      </w:r>
    </w:p>
    <w:p w:rsidR="00470A4D" w:rsidRPr="006F0428" w:rsidRDefault="00470A4D" w:rsidP="000747AA">
      <w:pPr>
        <w:pStyle w:val="Lijstalinea"/>
      </w:pPr>
      <w:r w:rsidRPr="006F0428">
        <w:t>Postbus 262</w:t>
      </w:r>
      <w:r w:rsidRPr="006F0428">
        <w:br/>
        <w:t>2990 AG</w:t>
      </w:r>
      <w:r w:rsidRPr="006F0428">
        <w:br/>
        <w:t>BARENDRECHT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BUVA Rationele Bouwproducten</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